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82" w:rsidRPr="00DF75AF" w:rsidRDefault="00B27382" w:rsidP="00B27382">
      <w:pPr>
        <w:spacing w:before="100" w:beforeAutospacing="1" w:after="100" w:afterAutospacing="1"/>
        <w:rPr>
          <w:rFonts w:eastAsia="Times New Roman"/>
          <w:lang w:eastAsia="en-IE"/>
        </w:rPr>
      </w:pPr>
      <w:bookmarkStart w:id="0" w:name="_GoBack"/>
      <w:bookmarkEnd w:id="0"/>
      <w:r w:rsidRPr="00DF75AF">
        <w:rPr>
          <w:rFonts w:eastAsia="Times New Roman"/>
          <w:b/>
          <w:bCs/>
          <w:lang w:eastAsia="en-IE"/>
        </w:rPr>
        <w:t>NOM et prénom                                                                     </w:t>
      </w:r>
      <w:r w:rsidR="00D32CDB">
        <w:rPr>
          <w:rFonts w:eastAsia="Times New Roman"/>
          <w:b/>
          <w:bCs/>
          <w:lang w:eastAsia="en-IE"/>
        </w:rPr>
        <w:t>                       </w:t>
      </w:r>
      <w:r w:rsidRPr="00DF75AF">
        <w:rPr>
          <w:rFonts w:eastAsia="Times New Roman"/>
          <w:b/>
          <w:bCs/>
          <w:lang w:eastAsia="en-IE"/>
        </w:rPr>
        <w:t>Date</w:t>
      </w:r>
    </w:p>
    <w:p w:rsidR="00B27382" w:rsidRPr="00DF75AF" w:rsidRDefault="00B27382" w:rsidP="00B27382">
      <w:pPr>
        <w:spacing w:before="100" w:beforeAutospacing="1" w:after="100" w:afterAutospacing="1"/>
        <w:rPr>
          <w:rFonts w:eastAsia="Times New Roman"/>
          <w:lang w:eastAsia="en-IE"/>
        </w:rPr>
      </w:pPr>
      <w:r w:rsidRPr="00DF75AF">
        <w:rPr>
          <w:rFonts w:eastAsia="Times New Roman"/>
          <w:b/>
          <w:bCs/>
          <w:lang w:eastAsia="en-IE"/>
        </w:rPr>
        <w:t>Adresse</w:t>
      </w:r>
    </w:p>
    <w:p w:rsidR="00B27382" w:rsidRPr="00DF75AF" w:rsidRDefault="00B27382" w:rsidP="00B27382">
      <w:pPr>
        <w:spacing w:before="100" w:beforeAutospacing="1" w:after="100" w:afterAutospacing="1"/>
        <w:ind w:left="3856" w:firstLine="709"/>
        <w:rPr>
          <w:rFonts w:eastAsia="Times New Roman"/>
          <w:lang w:eastAsia="en-IE"/>
        </w:rPr>
      </w:pPr>
      <w:r w:rsidRPr="00DF75AF">
        <w:rPr>
          <w:rFonts w:eastAsia="Times New Roman"/>
          <w:lang w:eastAsia="en-IE"/>
        </w:rPr>
        <w:t> </w:t>
      </w:r>
    </w:p>
    <w:p w:rsidR="00B27382" w:rsidRPr="00DF75AF" w:rsidRDefault="00B27382" w:rsidP="00B27382">
      <w:pPr>
        <w:spacing w:before="100" w:beforeAutospacing="1" w:after="100" w:afterAutospacing="1"/>
        <w:ind w:left="3856" w:firstLine="709"/>
        <w:rPr>
          <w:rFonts w:eastAsia="Times New Roman"/>
          <w:lang w:eastAsia="en-IE"/>
        </w:rPr>
      </w:pPr>
      <w:r w:rsidRPr="00DF75AF">
        <w:rPr>
          <w:rFonts w:eastAsia="Times New Roman"/>
          <w:lang w:eastAsia="en-IE"/>
        </w:rPr>
        <w:t> </w:t>
      </w:r>
    </w:p>
    <w:p w:rsidR="00B27382" w:rsidRPr="00DF75AF" w:rsidRDefault="00B27382" w:rsidP="00B27382">
      <w:pPr>
        <w:spacing w:before="100" w:beforeAutospacing="1" w:after="100" w:afterAutospacing="1"/>
        <w:ind w:left="3856" w:firstLine="709"/>
        <w:rPr>
          <w:rFonts w:eastAsia="Times New Roman"/>
          <w:lang w:eastAsia="en-IE"/>
        </w:rPr>
      </w:pPr>
      <w:r w:rsidRPr="00DF75AF">
        <w:rPr>
          <w:rFonts w:eastAsia="Times New Roman"/>
          <w:lang w:eastAsia="en-IE"/>
        </w:rPr>
        <w:t>1) A l’attention de la DGO4 –   </w:t>
      </w:r>
    </w:p>
    <w:p w:rsidR="00B27382" w:rsidRPr="00B27382" w:rsidRDefault="00C53761" w:rsidP="00B27382">
      <w:pPr>
        <w:spacing w:before="100" w:beforeAutospacing="1" w:after="100" w:afterAutospacing="1"/>
        <w:ind w:left="3856" w:firstLine="709"/>
        <w:rPr>
          <w:rFonts w:eastAsia="Times New Roman"/>
          <w:lang w:val="en-IE" w:eastAsia="en-IE"/>
        </w:rPr>
      </w:pPr>
      <w:hyperlink r:id="rId5" w:tgtFrame="_blank" w:history="1">
        <w:r w:rsidR="00B27382" w:rsidRPr="00B27382">
          <w:rPr>
            <w:rFonts w:eastAsia="Times New Roman"/>
            <w:color w:val="0000FF"/>
            <w:u w:val="single"/>
            <w:lang w:val="en-IE" w:eastAsia="en-IE"/>
          </w:rPr>
          <w:t>eolien.dgo4@spw.wallonie.be</w:t>
        </w:r>
      </w:hyperlink>
    </w:p>
    <w:p w:rsidR="00B27382" w:rsidRPr="00DF75AF" w:rsidRDefault="00B27382" w:rsidP="00B27382">
      <w:pPr>
        <w:spacing w:before="100" w:beforeAutospacing="1" w:after="100" w:afterAutospacing="1"/>
        <w:ind w:left="3856" w:firstLine="709"/>
        <w:rPr>
          <w:rFonts w:eastAsia="Times New Roman"/>
          <w:lang w:eastAsia="en-IE"/>
        </w:rPr>
      </w:pPr>
      <w:r w:rsidRPr="00B27382">
        <w:rPr>
          <w:rFonts w:eastAsia="Times New Roman"/>
          <w:lang w:val="en-IE" w:eastAsia="en-IE"/>
        </w:rPr>
        <w:t xml:space="preserve">2) Adm. </w:t>
      </w:r>
      <w:r w:rsidRPr="00DF75AF">
        <w:rPr>
          <w:rFonts w:eastAsia="Times New Roman"/>
          <w:lang w:eastAsia="en-IE"/>
        </w:rPr>
        <w:t>Communale de Fernelmont</w:t>
      </w:r>
    </w:p>
    <w:p w:rsidR="00B27382" w:rsidRPr="00DF75AF" w:rsidRDefault="00C53761" w:rsidP="00B27382">
      <w:pPr>
        <w:spacing w:before="100" w:beforeAutospacing="1" w:after="100" w:afterAutospacing="1"/>
        <w:ind w:left="3856" w:firstLine="709"/>
        <w:rPr>
          <w:rFonts w:eastAsia="Times New Roman"/>
          <w:lang w:eastAsia="en-IE"/>
        </w:rPr>
      </w:pPr>
      <w:hyperlink r:id="rId6" w:history="1">
        <w:r w:rsidR="00DF75AF" w:rsidRPr="00DF75AF">
          <w:rPr>
            <w:rStyle w:val="Hyperlink"/>
            <w:rFonts w:eastAsia="Times New Roman"/>
            <w:lang w:eastAsia="en-IE"/>
          </w:rPr>
          <w:t>energie.fernelmont@gmail.com</w:t>
        </w:r>
      </w:hyperlink>
      <w:r w:rsidR="00DF75AF" w:rsidRPr="00DF75AF">
        <w:rPr>
          <w:rFonts w:eastAsia="Times New Roman"/>
          <w:lang w:eastAsia="en-IE"/>
        </w:rPr>
        <w:t xml:space="preserve"> </w:t>
      </w:r>
    </w:p>
    <w:p w:rsidR="00DF75AF" w:rsidRDefault="00DF75AF" w:rsidP="00B27382">
      <w:pPr>
        <w:spacing w:before="100" w:beforeAutospacing="1" w:after="100" w:afterAutospacing="1"/>
        <w:ind w:left="3856" w:firstLine="709"/>
        <w:rPr>
          <w:rFonts w:eastAsia="Times New Roman"/>
          <w:lang w:eastAsia="en-IE"/>
        </w:rPr>
      </w:pPr>
      <w:r>
        <w:rPr>
          <w:rFonts w:eastAsia="Times New Roman"/>
          <w:lang w:eastAsia="en-IE"/>
        </w:rPr>
        <w:t xml:space="preserve">3) Adm. Communale de Namur </w:t>
      </w:r>
    </w:p>
    <w:p w:rsidR="00DF75AF" w:rsidRPr="00DF75AF" w:rsidRDefault="00C53761" w:rsidP="00B27382">
      <w:pPr>
        <w:spacing w:before="100" w:beforeAutospacing="1" w:after="100" w:afterAutospacing="1"/>
        <w:ind w:left="3856" w:firstLine="709"/>
        <w:rPr>
          <w:rFonts w:eastAsia="Times New Roman"/>
          <w:sz w:val="22"/>
          <w:szCs w:val="22"/>
          <w:lang w:eastAsia="en-IE"/>
        </w:rPr>
      </w:pPr>
      <w:hyperlink r:id="rId7" w:history="1">
        <w:r w:rsidR="00DF75AF" w:rsidRPr="00DF75AF">
          <w:rPr>
            <w:rStyle w:val="Hyperlink"/>
            <w:sz w:val="22"/>
            <w:szCs w:val="22"/>
            <w:lang w:eastAsia="en-US"/>
          </w:rPr>
          <w:t>permis.environnement@ville.namur.be</w:t>
        </w:r>
      </w:hyperlink>
      <w:r w:rsidR="00DF75AF" w:rsidRPr="00DF75AF">
        <w:rPr>
          <w:color w:val="0000FF"/>
          <w:sz w:val="22"/>
          <w:szCs w:val="22"/>
          <w:lang w:eastAsia="en-US"/>
        </w:rPr>
        <w:tab/>
      </w:r>
    </w:p>
    <w:p w:rsidR="00B27382" w:rsidRPr="00DF75AF" w:rsidRDefault="00B27382" w:rsidP="00B27382">
      <w:pPr>
        <w:spacing w:before="100" w:beforeAutospacing="1" w:after="100" w:afterAutospacing="1"/>
        <w:rPr>
          <w:rFonts w:eastAsia="Times New Roman"/>
          <w:lang w:eastAsia="en-IE"/>
        </w:rPr>
      </w:pPr>
      <w:r w:rsidRPr="00DF75AF">
        <w:rPr>
          <w:rFonts w:eastAsia="Times New Roman"/>
          <w:b/>
          <w:bCs/>
          <w:lang w:eastAsia="en-IE"/>
        </w:rPr>
        <w:t> </w:t>
      </w:r>
    </w:p>
    <w:p w:rsidR="00B27382" w:rsidRPr="00DF75AF" w:rsidRDefault="00B27382" w:rsidP="00B27382">
      <w:pPr>
        <w:spacing w:before="100" w:beforeAutospacing="1" w:after="100" w:afterAutospacing="1"/>
        <w:rPr>
          <w:rFonts w:eastAsia="Times New Roman"/>
          <w:sz w:val="22"/>
          <w:lang w:eastAsia="en-IE"/>
        </w:rPr>
      </w:pPr>
      <w:r w:rsidRPr="00DF75AF">
        <w:rPr>
          <w:rFonts w:eastAsia="Times New Roman"/>
          <w:b/>
          <w:bCs/>
          <w:sz w:val="22"/>
          <w:lang w:eastAsia="en-IE"/>
        </w:rPr>
        <w:t> </w:t>
      </w:r>
      <w:r w:rsidRPr="00D32CDB">
        <w:rPr>
          <w:rFonts w:eastAsia="Times New Roman"/>
          <w:b/>
          <w:bCs/>
          <w:sz w:val="22"/>
          <w:u w:val="single"/>
          <w:lang w:eastAsia="en-IE"/>
        </w:rPr>
        <w:t>Concerne </w:t>
      </w:r>
      <w:r w:rsidRPr="00DF75AF">
        <w:rPr>
          <w:rFonts w:eastAsia="Times New Roman"/>
          <w:b/>
          <w:bCs/>
          <w:sz w:val="22"/>
          <w:lang w:eastAsia="en-IE"/>
        </w:rPr>
        <w:t>: enquête publique sur la carte positive de référence traduisant le cadre de référence éolien actualisé.</w:t>
      </w:r>
    </w:p>
    <w:p w:rsidR="00B27382" w:rsidRPr="00DF75AF" w:rsidRDefault="00B27382" w:rsidP="00B27382">
      <w:pPr>
        <w:spacing w:before="100" w:beforeAutospacing="1" w:after="100" w:afterAutospacing="1"/>
        <w:rPr>
          <w:rFonts w:eastAsia="Times New Roman"/>
          <w:sz w:val="22"/>
          <w:lang w:eastAsia="en-IE"/>
        </w:rPr>
      </w:pPr>
      <w:r w:rsidRPr="00DF75AF">
        <w:rPr>
          <w:rFonts w:eastAsia="Times New Roman"/>
          <w:sz w:val="22"/>
          <w:lang w:eastAsia="en-IE"/>
        </w:rPr>
        <w:t>  </w:t>
      </w:r>
    </w:p>
    <w:p w:rsidR="00B27382" w:rsidRPr="00DF75AF" w:rsidRDefault="00B27382" w:rsidP="00B27382">
      <w:pPr>
        <w:spacing w:before="100" w:beforeAutospacing="1" w:after="100" w:afterAutospacing="1"/>
        <w:rPr>
          <w:rFonts w:eastAsia="Times New Roman"/>
          <w:sz w:val="22"/>
          <w:lang w:eastAsia="en-IE"/>
        </w:rPr>
      </w:pPr>
      <w:r w:rsidRPr="00DF75AF">
        <w:rPr>
          <w:rFonts w:eastAsia="Times New Roman"/>
          <w:sz w:val="22"/>
          <w:lang w:eastAsia="en-IE"/>
        </w:rPr>
        <w:t>Madame, Monsieur,</w:t>
      </w:r>
    </w:p>
    <w:p w:rsidR="00B27382" w:rsidRPr="00DF75AF" w:rsidRDefault="00B27382" w:rsidP="00B27382">
      <w:pPr>
        <w:spacing w:before="100" w:beforeAutospacing="1" w:after="100" w:afterAutospacing="1"/>
        <w:rPr>
          <w:rFonts w:eastAsia="Times New Roman"/>
          <w:sz w:val="22"/>
          <w:lang w:eastAsia="en-IE"/>
        </w:rPr>
      </w:pPr>
      <w:r w:rsidRPr="00DF75AF">
        <w:rPr>
          <w:rFonts w:eastAsia="Times New Roman"/>
          <w:sz w:val="22"/>
          <w:lang w:eastAsia="en-IE"/>
        </w:rPr>
        <w:t>  </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 xml:space="preserve">La cartographie de l’éolien wallon soumise à l’enquête et le Cadre de référence qu’elle traduit représentent une avancée remarquable (autant qu’attendue) pour une bonne gestion du développement de l’éolien en Wallonie. Leur adoption définitive sera de nature à relancer le développement du secteur, en perte de vitesse manifeste depuis deux ans, et à encourager les citoyens qui veulent s’impliquer activement dans les défis qui s’imposent à notre société : lutte contre le réchauffement climatique, indépendance énergétique, relance économique, réappropriation citoyenne des sources d’énergie locales. </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 </w:t>
      </w:r>
      <w:r w:rsidRPr="00DF75AF">
        <w:rPr>
          <w:rFonts w:eastAsia="Times New Roman"/>
          <w:b/>
          <w:bCs/>
          <w:sz w:val="22"/>
          <w:lang w:eastAsia="en-IE"/>
        </w:rPr>
        <w:t>Je me réjouis</w:t>
      </w:r>
      <w:r w:rsidRPr="00DF75AF">
        <w:rPr>
          <w:rFonts w:eastAsia="Times New Roman"/>
          <w:sz w:val="22"/>
          <w:lang w:eastAsia="en-IE"/>
        </w:rPr>
        <w:t xml:space="preserve"> donc de l’existence de ces outils encadrant le développement de l’éolien wallon et attends avec impatience le décret d’application qui devra finaliser la démarche. Je souhaite que ce décret garantisse la participation des coopératives d’initiative c</w:t>
      </w:r>
      <w:r w:rsidR="00DF75AF">
        <w:rPr>
          <w:rFonts w:eastAsia="Times New Roman"/>
          <w:sz w:val="22"/>
          <w:lang w:eastAsia="en-IE"/>
        </w:rPr>
        <w:t>itoyenne affiliées à Rescoop.be et indépendantes des grandes compagnies d’électricité.</w:t>
      </w:r>
    </w:p>
    <w:p w:rsidR="00DF75AF" w:rsidRPr="00F62C8E" w:rsidRDefault="00282A9C" w:rsidP="00DF75AF">
      <w:pPr>
        <w:autoSpaceDE w:val="0"/>
        <w:autoSpaceDN w:val="0"/>
        <w:adjustRightInd w:val="0"/>
        <w:rPr>
          <w:rFonts w:ascii="Arial" w:hAnsi="Arial" w:cs="Arial"/>
          <w:color w:val="000000"/>
          <w:szCs w:val="20"/>
        </w:rPr>
      </w:pPr>
      <w:r w:rsidRPr="00282A9C">
        <w:rPr>
          <w:rFonts w:eastAsia="Times New Roman"/>
          <w:b/>
          <w:sz w:val="22"/>
          <w:lang w:eastAsia="en-IE"/>
        </w:rPr>
        <w:t>J</w:t>
      </w:r>
      <w:r w:rsidR="00B27382" w:rsidRPr="00282A9C">
        <w:rPr>
          <w:rFonts w:eastAsia="Times New Roman"/>
          <w:b/>
          <w:bCs/>
          <w:sz w:val="22"/>
          <w:lang w:eastAsia="en-IE"/>
        </w:rPr>
        <w:t>e</w:t>
      </w:r>
      <w:r w:rsidR="00B27382" w:rsidRPr="00DF75AF">
        <w:rPr>
          <w:rFonts w:eastAsia="Times New Roman"/>
          <w:b/>
          <w:bCs/>
          <w:sz w:val="22"/>
          <w:lang w:eastAsia="en-IE"/>
        </w:rPr>
        <w:t xml:space="preserve"> regrette</w:t>
      </w:r>
      <w:r>
        <w:rPr>
          <w:rFonts w:eastAsia="Times New Roman"/>
          <w:b/>
          <w:bCs/>
          <w:sz w:val="22"/>
          <w:lang w:eastAsia="en-IE"/>
        </w:rPr>
        <w:t xml:space="preserve"> </w:t>
      </w:r>
      <w:r>
        <w:rPr>
          <w:rFonts w:eastAsia="Times New Roman"/>
          <w:bCs/>
          <w:sz w:val="22"/>
          <w:lang w:eastAsia="en-IE"/>
        </w:rPr>
        <w:t>cependant</w:t>
      </w:r>
      <w:r w:rsidR="00B27382" w:rsidRPr="00DF75AF">
        <w:rPr>
          <w:rFonts w:eastAsia="Times New Roman"/>
          <w:sz w:val="22"/>
          <w:lang w:eastAsia="en-IE"/>
        </w:rPr>
        <w:t xml:space="preserve"> que </w:t>
      </w:r>
      <w:r w:rsidR="00DF75AF">
        <w:rPr>
          <w:rFonts w:eastAsia="Times New Roman"/>
          <w:sz w:val="22"/>
          <w:lang w:eastAsia="en-IE"/>
        </w:rPr>
        <w:t>l</w:t>
      </w:r>
      <w:r w:rsidR="00DF75AF" w:rsidRPr="00DF75AF">
        <w:rPr>
          <w:color w:val="000000"/>
          <w:sz w:val="22"/>
          <w:szCs w:val="22"/>
        </w:rPr>
        <w:t xml:space="preserve">e nouveau cadre éolien </w:t>
      </w:r>
      <w:r w:rsidR="00DF75AF">
        <w:rPr>
          <w:color w:val="000000"/>
          <w:sz w:val="22"/>
          <w:szCs w:val="22"/>
        </w:rPr>
        <w:t>n’</w:t>
      </w:r>
      <w:r w:rsidR="00DF75AF" w:rsidRPr="00DF75AF">
        <w:rPr>
          <w:color w:val="000000"/>
          <w:sz w:val="22"/>
          <w:szCs w:val="22"/>
        </w:rPr>
        <w:t xml:space="preserve">ouvre la porte à la </w:t>
      </w:r>
      <w:r w:rsidR="00DF75AF" w:rsidRPr="00DF75AF">
        <w:rPr>
          <w:b/>
          <w:color w:val="000000"/>
          <w:sz w:val="22"/>
          <w:szCs w:val="22"/>
        </w:rPr>
        <w:t>participation citoyenne</w:t>
      </w:r>
      <w:r w:rsidR="00DF75AF" w:rsidRPr="00DF75AF">
        <w:rPr>
          <w:color w:val="000000"/>
          <w:sz w:val="22"/>
          <w:szCs w:val="22"/>
        </w:rPr>
        <w:t xml:space="preserve"> </w:t>
      </w:r>
      <w:r w:rsidR="00DF75AF">
        <w:rPr>
          <w:color w:val="000000"/>
          <w:sz w:val="22"/>
          <w:szCs w:val="22"/>
        </w:rPr>
        <w:t xml:space="preserve">que </w:t>
      </w:r>
      <w:r>
        <w:rPr>
          <w:color w:val="000000"/>
          <w:sz w:val="22"/>
          <w:szCs w:val="22"/>
        </w:rPr>
        <w:t xml:space="preserve">lors de la </w:t>
      </w:r>
      <w:r w:rsidR="006A34FC">
        <w:rPr>
          <w:color w:val="000000"/>
          <w:sz w:val="22"/>
          <w:szCs w:val="22"/>
        </w:rPr>
        <w:t xml:space="preserve">seule et unique </w:t>
      </w:r>
      <w:r>
        <w:rPr>
          <w:color w:val="000000"/>
          <w:sz w:val="22"/>
          <w:szCs w:val="22"/>
        </w:rPr>
        <w:t>réunion d’information.</w:t>
      </w:r>
      <w:r w:rsidR="006A34FC">
        <w:rPr>
          <w:color w:val="000000"/>
          <w:sz w:val="22"/>
          <w:szCs w:val="22"/>
        </w:rPr>
        <w:t xml:space="preserve"> </w:t>
      </w:r>
      <w:r w:rsidR="00DF75AF" w:rsidRPr="00DF75AF">
        <w:rPr>
          <w:color w:val="000000"/>
          <w:sz w:val="22"/>
          <w:szCs w:val="22"/>
        </w:rPr>
        <w:t xml:space="preserve"> </w:t>
      </w:r>
      <w:r w:rsidR="006A34FC">
        <w:rPr>
          <w:color w:val="000000"/>
          <w:sz w:val="22"/>
          <w:szCs w:val="22"/>
        </w:rPr>
        <w:t>D</w:t>
      </w:r>
      <w:r>
        <w:rPr>
          <w:color w:val="000000"/>
          <w:sz w:val="22"/>
          <w:szCs w:val="22"/>
        </w:rPr>
        <w:t>evoir déclarer la participation à ce moment n’est pas réaliste ;</w:t>
      </w:r>
      <w:r w:rsidR="00DF75AF" w:rsidRPr="00DF75AF">
        <w:rPr>
          <w:color w:val="000000"/>
          <w:sz w:val="22"/>
          <w:szCs w:val="22"/>
        </w:rPr>
        <w:t xml:space="preserve"> il y aura </w:t>
      </w:r>
      <w:r>
        <w:rPr>
          <w:color w:val="000000"/>
          <w:sz w:val="22"/>
          <w:szCs w:val="22"/>
        </w:rPr>
        <w:t>beaucoup de déceptions.</w:t>
      </w:r>
      <w:r w:rsidR="006A34FC">
        <w:rPr>
          <w:color w:val="000000"/>
          <w:sz w:val="22"/>
          <w:szCs w:val="22"/>
        </w:rPr>
        <w:t xml:space="preserve"> </w:t>
      </w:r>
      <w:r>
        <w:rPr>
          <w:color w:val="000000"/>
          <w:sz w:val="22"/>
          <w:szCs w:val="22"/>
        </w:rPr>
        <w:t xml:space="preserve"> Il faudrait p</w:t>
      </w:r>
      <w:r w:rsidR="00DF75AF" w:rsidRPr="00DF75AF">
        <w:rPr>
          <w:color w:val="000000"/>
          <w:sz w:val="22"/>
          <w:szCs w:val="22"/>
        </w:rPr>
        <w:t>er</w:t>
      </w:r>
      <w:r>
        <w:rPr>
          <w:color w:val="000000"/>
          <w:sz w:val="22"/>
          <w:szCs w:val="22"/>
        </w:rPr>
        <w:t>mettre</w:t>
      </w:r>
      <w:r w:rsidR="00DF75AF" w:rsidRPr="00DF75AF">
        <w:rPr>
          <w:color w:val="000000"/>
          <w:sz w:val="22"/>
          <w:szCs w:val="22"/>
        </w:rPr>
        <w:t xml:space="preserve"> que l’appel à participation financière </w:t>
      </w:r>
      <w:r>
        <w:rPr>
          <w:color w:val="000000"/>
          <w:sz w:val="22"/>
          <w:szCs w:val="22"/>
        </w:rPr>
        <w:t>puisse e</w:t>
      </w:r>
      <w:r w:rsidR="00DF75AF" w:rsidRPr="00DF75AF">
        <w:rPr>
          <w:color w:val="000000"/>
          <w:sz w:val="22"/>
          <w:szCs w:val="22"/>
        </w:rPr>
        <w:t xml:space="preserve">ncore </w:t>
      </w:r>
      <w:r>
        <w:rPr>
          <w:color w:val="000000"/>
          <w:sz w:val="22"/>
          <w:szCs w:val="22"/>
        </w:rPr>
        <w:t>avoir lieu</w:t>
      </w:r>
      <w:r w:rsidR="00DF75AF" w:rsidRPr="00DF75AF">
        <w:rPr>
          <w:color w:val="000000"/>
          <w:sz w:val="22"/>
          <w:szCs w:val="22"/>
        </w:rPr>
        <w:t xml:space="preserve"> lors d’une </w:t>
      </w:r>
      <w:r w:rsidR="00DF75AF" w:rsidRPr="006A34FC">
        <w:rPr>
          <w:color w:val="000000"/>
          <w:sz w:val="22"/>
          <w:szCs w:val="22"/>
          <w:u w:val="single"/>
        </w:rPr>
        <w:t>2</w:t>
      </w:r>
      <w:r w:rsidR="00DF75AF" w:rsidRPr="006A34FC">
        <w:rPr>
          <w:color w:val="000000"/>
          <w:sz w:val="22"/>
          <w:szCs w:val="22"/>
          <w:u w:val="single"/>
          <w:vertAlign w:val="superscript"/>
        </w:rPr>
        <w:t>e</w:t>
      </w:r>
      <w:r w:rsidR="00DF75AF" w:rsidRPr="006A34FC">
        <w:rPr>
          <w:color w:val="000000"/>
          <w:sz w:val="22"/>
          <w:szCs w:val="22"/>
          <w:u w:val="single"/>
        </w:rPr>
        <w:t xml:space="preserve"> réunion</w:t>
      </w:r>
      <w:r w:rsidR="00DF75AF" w:rsidRPr="006A34FC">
        <w:rPr>
          <w:b/>
          <w:color w:val="000000"/>
          <w:sz w:val="22"/>
          <w:szCs w:val="22"/>
          <w:u w:val="single"/>
        </w:rPr>
        <w:t xml:space="preserve"> </w:t>
      </w:r>
      <w:r w:rsidR="00DF75AF" w:rsidRPr="006A34FC">
        <w:rPr>
          <w:color w:val="000000"/>
          <w:sz w:val="22"/>
          <w:szCs w:val="22"/>
          <w:u w:val="single"/>
        </w:rPr>
        <w:t>obligatoire d’information</w:t>
      </w:r>
      <w:r w:rsidR="00DF75AF" w:rsidRPr="00DF75AF">
        <w:rPr>
          <w:color w:val="000000"/>
          <w:sz w:val="22"/>
          <w:szCs w:val="22"/>
        </w:rPr>
        <w:t xml:space="preserve"> qui présente les résultats de l’enquête d’incidence environnementale</w:t>
      </w:r>
      <w:r>
        <w:rPr>
          <w:color w:val="000000"/>
          <w:sz w:val="22"/>
          <w:szCs w:val="22"/>
        </w:rPr>
        <w:t xml:space="preserve"> et le projet final qui fera l’objet d’une demande de permis.</w:t>
      </w:r>
      <w:r w:rsidR="006A34FC">
        <w:rPr>
          <w:color w:val="000000"/>
          <w:sz w:val="22"/>
          <w:szCs w:val="22"/>
        </w:rPr>
        <w:t xml:space="preserve"> </w:t>
      </w:r>
      <w:r w:rsidR="00DF75AF" w:rsidRPr="00DF75AF">
        <w:rPr>
          <w:rFonts w:ascii="Arial" w:hAnsi="Arial" w:cs="Arial"/>
          <w:color w:val="000000"/>
          <w:szCs w:val="20"/>
        </w:rPr>
        <w:br/>
      </w:r>
    </w:p>
    <w:p w:rsidR="00DF75AF" w:rsidRPr="00282A9C" w:rsidRDefault="00DF75AF" w:rsidP="00DF75AF">
      <w:pPr>
        <w:spacing w:before="60" w:after="60"/>
        <w:rPr>
          <w:sz w:val="22"/>
          <w:szCs w:val="22"/>
        </w:rPr>
      </w:pPr>
      <w:r w:rsidRPr="00282A9C">
        <w:rPr>
          <w:color w:val="000000"/>
          <w:sz w:val="22"/>
          <w:szCs w:val="22"/>
        </w:rPr>
        <w:lastRenderedPageBreak/>
        <w:t xml:space="preserve">Au final, les développeurs doivent garder à l’esprit </w:t>
      </w:r>
      <w:r w:rsidRPr="00282A9C">
        <w:rPr>
          <w:sz w:val="22"/>
          <w:szCs w:val="22"/>
        </w:rPr>
        <w:t xml:space="preserve">que les projets éoliens s’inscrivent dans le cadre de communautés et en sont indissociables. Tous les acteurs doivent viser à parvenir à une compréhension commune et doivent communiquer des informations factuelles pour </w:t>
      </w:r>
      <w:r w:rsidRPr="00282A9C">
        <w:rPr>
          <w:b/>
          <w:sz w:val="22"/>
          <w:szCs w:val="22"/>
        </w:rPr>
        <w:t>créer un terrain fertile à l’acceptation</w:t>
      </w:r>
      <w:r w:rsidRPr="00282A9C">
        <w:rPr>
          <w:sz w:val="22"/>
          <w:szCs w:val="22"/>
        </w:rPr>
        <w:t xml:space="preserve"> et l’engagement de la part de la communauté locale.</w:t>
      </w:r>
    </w:p>
    <w:p w:rsidR="00DF75AF" w:rsidRPr="00282A9C" w:rsidRDefault="00DF75AF" w:rsidP="00DF75AF">
      <w:pPr>
        <w:autoSpaceDE w:val="0"/>
        <w:autoSpaceDN w:val="0"/>
        <w:rPr>
          <w:sz w:val="22"/>
          <w:szCs w:val="22"/>
        </w:rPr>
      </w:pPr>
      <w:r w:rsidRPr="00282A9C">
        <w:rPr>
          <w:sz w:val="22"/>
          <w:szCs w:val="22"/>
        </w:rPr>
        <w:t xml:space="preserve">Différentes méthodes existent pour y parvenir, notamment des sites internet, les médias sociaux, des newsletters et des évènements publics, mais la plus efficace ne serait-elle pas de créer </w:t>
      </w:r>
      <w:r w:rsidRPr="006A34FC">
        <w:rPr>
          <w:bCs/>
          <w:sz w:val="22"/>
          <w:szCs w:val="22"/>
          <w:u w:val="single"/>
        </w:rPr>
        <w:t xml:space="preserve">un comité de </w:t>
      </w:r>
      <w:r w:rsidRPr="00D32CDB">
        <w:rPr>
          <w:bCs/>
          <w:sz w:val="22"/>
          <w:szCs w:val="22"/>
          <w:u w:val="single"/>
        </w:rPr>
        <w:t>concertation</w:t>
      </w:r>
      <w:r w:rsidRPr="00D32CDB">
        <w:rPr>
          <w:sz w:val="22"/>
          <w:szCs w:val="22"/>
          <w:u w:val="single"/>
        </w:rPr>
        <w:t xml:space="preserve"> incluant les riverains et toutes les parties prenantes</w:t>
      </w:r>
      <w:r w:rsidRPr="00282A9C">
        <w:rPr>
          <w:sz w:val="22"/>
          <w:szCs w:val="22"/>
        </w:rPr>
        <w:t xml:space="preserve">, à l’image d’un comité PPT dans les entreprises. </w:t>
      </w:r>
      <w:r w:rsidR="006A34FC">
        <w:rPr>
          <w:sz w:val="22"/>
          <w:szCs w:val="22"/>
        </w:rPr>
        <w:t xml:space="preserve"> </w:t>
      </w:r>
      <w:r w:rsidRPr="00282A9C">
        <w:rPr>
          <w:sz w:val="22"/>
          <w:szCs w:val="22"/>
        </w:rPr>
        <w:t xml:space="preserve">Pourquoi le cadre ne le prévoit-il pas ?  </w:t>
      </w:r>
      <w:r w:rsidRPr="00282A9C">
        <w:rPr>
          <w:sz w:val="22"/>
          <w:szCs w:val="22"/>
        </w:rPr>
        <w:br/>
        <w:t xml:space="preserve">Cette concertation fait défaut en Wallonie, la population mécontente n’a d’autre choix que d’introduire des recours contre les permis d’environnement, ce qui devrait rester l’exception. Une réelle concertation fait également partie d’un développement durable </w:t>
      </w:r>
      <w:r w:rsidR="006A34FC">
        <w:rPr>
          <w:sz w:val="22"/>
          <w:szCs w:val="22"/>
        </w:rPr>
        <w:t>harmonieux</w:t>
      </w:r>
      <w:r w:rsidRPr="00282A9C">
        <w:rPr>
          <w:sz w:val="22"/>
          <w:szCs w:val="22"/>
        </w:rPr>
        <w:t>.</w:t>
      </w:r>
    </w:p>
    <w:p w:rsidR="00B27382" w:rsidRPr="00DF75AF" w:rsidRDefault="00B27382" w:rsidP="00B27382">
      <w:pPr>
        <w:spacing w:before="100" w:beforeAutospacing="1" w:after="100" w:afterAutospacing="1"/>
        <w:jc w:val="both"/>
        <w:rPr>
          <w:rFonts w:eastAsia="Times New Roman"/>
          <w:sz w:val="22"/>
          <w:lang w:eastAsia="en-IE"/>
        </w:rPr>
      </w:pP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b/>
          <w:bCs/>
          <w:sz w:val="22"/>
          <w:lang w:eastAsia="en-IE"/>
        </w:rPr>
        <w:t xml:space="preserve">Je souhaite faire la remarque suivante </w:t>
      </w:r>
      <w:r w:rsidRPr="00DF75AF">
        <w:rPr>
          <w:rFonts w:eastAsia="Times New Roman"/>
          <w:sz w:val="22"/>
          <w:lang w:eastAsia="en-IE"/>
        </w:rPr>
        <w:t>sur la cartographie en elle-même :</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 xml:space="preserve">La carte positive tente de traduire les « recommandations » du Cadre de référence. Ses conclusions doivent donc être considérées comme indicatives. Verrouiller les zones favorables et les zones à contraintes d’exclusion intégrale ou partielle, délimitées de façon théorique, risquerait de mener à des situations absurdes sur le terrain. </w:t>
      </w:r>
      <w:r w:rsidRPr="00DF75AF">
        <w:rPr>
          <w:rFonts w:eastAsia="Times New Roman"/>
          <w:sz w:val="22"/>
          <w:u w:val="single"/>
          <w:lang w:eastAsia="en-IE"/>
        </w:rPr>
        <w:t>J’estime que la carte ne peut pas dispenser l’autorité compétente d’examiner au cas par cas les projets d’implantation actuellement à l’étude se situant hors des zones retenues</w:t>
      </w:r>
      <w:r w:rsidRPr="00DF75AF">
        <w:rPr>
          <w:rFonts w:eastAsia="Times New Roman"/>
          <w:sz w:val="22"/>
          <w:lang w:eastAsia="en-IE"/>
        </w:rPr>
        <w:t xml:space="preserve">. La réalité du terrain doit primer sur les considérations théoriques illustrées par la carte. Les </w:t>
      </w:r>
      <w:r w:rsidR="00D32CDB">
        <w:rPr>
          <w:rFonts w:eastAsia="Times New Roman"/>
          <w:sz w:val="22"/>
          <w:lang w:eastAsia="en-IE"/>
        </w:rPr>
        <w:t>é</w:t>
      </w:r>
      <w:r w:rsidRPr="00DF75AF">
        <w:rPr>
          <w:rFonts w:eastAsia="Times New Roman"/>
          <w:sz w:val="22"/>
          <w:lang w:eastAsia="en-IE"/>
        </w:rPr>
        <w:t>tudes d’incidences sur l’environnement doivent rester la référence qui permet d’évaluer concrètement la qualité des projets.</w:t>
      </w:r>
    </w:p>
    <w:p w:rsidR="00B27382" w:rsidRPr="00DF75AF" w:rsidRDefault="00B27382" w:rsidP="00B27382">
      <w:pPr>
        <w:spacing w:before="100" w:beforeAutospacing="1" w:after="100" w:afterAutospacing="1"/>
        <w:jc w:val="both"/>
        <w:rPr>
          <w:rFonts w:eastAsia="Times New Roman"/>
          <w:sz w:val="22"/>
          <w:lang w:eastAsia="en-IE"/>
        </w:rPr>
      </w:pP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Merci de l’attention que vous voudrez bien apporter à ce</w:t>
      </w:r>
      <w:r w:rsidR="006A34FC">
        <w:rPr>
          <w:rFonts w:eastAsia="Times New Roman"/>
          <w:sz w:val="22"/>
          <w:lang w:eastAsia="en-IE"/>
        </w:rPr>
        <w:t>s</w:t>
      </w:r>
      <w:r w:rsidRPr="00DF75AF">
        <w:rPr>
          <w:rFonts w:eastAsia="Times New Roman"/>
          <w:sz w:val="22"/>
          <w:lang w:eastAsia="en-IE"/>
        </w:rPr>
        <w:t xml:space="preserve"> </w:t>
      </w:r>
      <w:r w:rsidR="006A34FC">
        <w:rPr>
          <w:rFonts w:eastAsia="Times New Roman"/>
          <w:sz w:val="22"/>
          <w:lang w:eastAsia="en-IE"/>
        </w:rPr>
        <w:t>observations</w:t>
      </w:r>
      <w:r w:rsidRPr="00DF75AF">
        <w:rPr>
          <w:rFonts w:eastAsia="Times New Roman"/>
          <w:sz w:val="22"/>
          <w:lang w:eastAsia="en-IE"/>
        </w:rPr>
        <w:t>.</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 </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Recevez mes meilleures salutations.</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 </w:t>
      </w:r>
    </w:p>
    <w:p w:rsidR="00B27382" w:rsidRPr="00DF75AF"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 </w:t>
      </w:r>
    </w:p>
    <w:p w:rsidR="00B27382" w:rsidRDefault="00B27382" w:rsidP="00B27382">
      <w:pPr>
        <w:spacing w:before="100" w:beforeAutospacing="1" w:after="100" w:afterAutospacing="1"/>
        <w:jc w:val="both"/>
        <w:rPr>
          <w:rFonts w:eastAsia="Times New Roman"/>
          <w:sz w:val="22"/>
          <w:lang w:eastAsia="en-IE"/>
        </w:rPr>
      </w:pPr>
      <w:r w:rsidRPr="00DF75AF">
        <w:rPr>
          <w:rFonts w:eastAsia="Times New Roman"/>
          <w:sz w:val="22"/>
          <w:lang w:eastAsia="en-IE"/>
        </w:rPr>
        <w:t>(nom et prénom)</w:t>
      </w:r>
      <w:r w:rsidR="00D32CDB">
        <w:rPr>
          <w:rFonts w:eastAsia="Times New Roman"/>
          <w:sz w:val="22"/>
          <w:lang w:eastAsia="en-IE"/>
        </w:rPr>
        <w:t xml:space="preserve"> </w:t>
      </w:r>
    </w:p>
    <w:p w:rsidR="00373F23" w:rsidRDefault="00373F23"/>
    <w:sectPr w:rsidR="00373F23" w:rsidSect="00F362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82"/>
    <w:rsid w:val="00013B74"/>
    <w:rsid w:val="000764AC"/>
    <w:rsid w:val="0008186B"/>
    <w:rsid w:val="000849A2"/>
    <w:rsid w:val="000A082B"/>
    <w:rsid w:val="00110EF8"/>
    <w:rsid w:val="00131CF4"/>
    <w:rsid w:val="001F29B6"/>
    <w:rsid w:val="002067EA"/>
    <w:rsid w:val="00282A9C"/>
    <w:rsid w:val="002E0C67"/>
    <w:rsid w:val="002F7F3E"/>
    <w:rsid w:val="0033732A"/>
    <w:rsid w:val="00373F23"/>
    <w:rsid w:val="00426629"/>
    <w:rsid w:val="0047591C"/>
    <w:rsid w:val="00531D92"/>
    <w:rsid w:val="005408A9"/>
    <w:rsid w:val="00566A3B"/>
    <w:rsid w:val="00590D38"/>
    <w:rsid w:val="005F34BE"/>
    <w:rsid w:val="006A34FC"/>
    <w:rsid w:val="00741B6E"/>
    <w:rsid w:val="007555B7"/>
    <w:rsid w:val="0078383C"/>
    <w:rsid w:val="008077AC"/>
    <w:rsid w:val="00817AFC"/>
    <w:rsid w:val="008368F4"/>
    <w:rsid w:val="008D5464"/>
    <w:rsid w:val="009301FF"/>
    <w:rsid w:val="009F1E6C"/>
    <w:rsid w:val="00B02C0B"/>
    <w:rsid w:val="00B27382"/>
    <w:rsid w:val="00B527C9"/>
    <w:rsid w:val="00B84E46"/>
    <w:rsid w:val="00BF561C"/>
    <w:rsid w:val="00C53761"/>
    <w:rsid w:val="00D006A2"/>
    <w:rsid w:val="00D32CDB"/>
    <w:rsid w:val="00DF75AF"/>
    <w:rsid w:val="00F06C6E"/>
    <w:rsid w:val="00F070A5"/>
    <w:rsid w:val="00F362A1"/>
    <w:rsid w:val="00F81BA7"/>
    <w:rsid w:val="00F94D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s.environnement@ville.namur.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ergie.fernelmont@gmail.com" TargetMode="External"/><Relationship Id="rId5" Type="http://schemas.openxmlformats.org/officeDocument/2006/relationships/hyperlink" Target="mailto:eolien.dgo4@spw.walloni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CRM</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Cedric</dc:creator>
  <cp:lastModifiedBy>GEORGES Cedric</cp:lastModifiedBy>
  <cp:revision>2</cp:revision>
  <dcterms:created xsi:type="dcterms:W3CDTF">2013-10-22T18:56:00Z</dcterms:created>
  <dcterms:modified xsi:type="dcterms:W3CDTF">2013-10-22T18:56:00Z</dcterms:modified>
</cp:coreProperties>
</file>